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2EC9" w:rsidRPr="00A04266" w:rsidRDefault="00A04266">
      <w:pPr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A04266">
        <w:rPr>
          <w:rFonts w:asciiTheme="minorHAnsi" w:eastAsia="Times New Roman" w:hAnsiTheme="minorHAnsi" w:cs="Times New Roman"/>
          <w:b/>
          <w:sz w:val="24"/>
          <w:szCs w:val="24"/>
        </w:rPr>
        <w:t xml:space="preserve">Case Study: Construction Dewatering </w:t>
      </w:r>
    </w:p>
    <w:p w:rsidR="00A04266" w:rsidRPr="00A04266" w:rsidRDefault="00A04266">
      <w:pPr>
        <w:jc w:val="center"/>
        <w:rPr>
          <w:rFonts w:asciiTheme="minorHAnsi" w:eastAsia="Times New Roman" w:hAnsiTheme="minorHAnsi" w:cs="Times New Roman"/>
          <w:sz w:val="20"/>
          <w:szCs w:val="24"/>
        </w:rPr>
      </w:pPr>
      <w:proofErr w:type="spellStart"/>
      <w:r w:rsidRPr="00A04266">
        <w:rPr>
          <w:rFonts w:asciiTheme="minorHAnsi" w:eastAsia="Times New Roman" w:hAnsiTheme="minorHAnsi" w:cs="Times New Roman"/>
          <w:sz w:val="20"/>
          <w:szCs w:val="24"/>
        </w:rPr>
        <w:t>CEEn</w:t>
      </w:r>
      <w:proofErr w:type="spellEnd"/>
      <w:r w:rsidRPr="00A04266">
        <w:rPr>
          <w:rFonts w:asciiTheme="minorHAnsi" w:eastAsia="Times New Roman" w:hAnsiTheme="minorHAnsi" w:cs="Times New Roman"/>
          <w:sz w:val="20"/>
          <w:szCs w:val="24"/>
        </w:rPr>
        <w:t xml:space="preserve"> 544 – Seepage and Slope Stability</w:t>
      </w:r>
    </w:p>
    <w:p w:rsidR="00A04266" w:rsidRPr="00A04266" w:rsidRDefault="00A04266">
      <w:pPr>
        <w:jc w:val="center"/>
        <w:rPr>
          <w:rFonts w:asciiTheme="minorHAnsi" w:hAnsiTheme="minorHAnsi"/>
          <w:sz w:val="18"/>
        </w:rPr>
      </w:pPr>
      <w:r w:rsidRPr="00A04266">
        <w:rPr>
          <w:rFonts w:asciiTheme="minorHAnsi" w:eastAsia="Times New Roman" w:hAnsiTheme="minorHAnsi" w:cs="Times New Roman"/>
          <w:sz w:val="20"/>
          <w:szCs w:val="24"/>
        </w:rPr>
        <w:t>Jeremy Fowler, Braden Error, Hani Abu-Hmeidan</w:t>
      </w:r>
    </w:p>
    <w:p w:rsidR="00C72EC9" w:rsidRPr="00A04266" w:rsidRDefault="00A04266">
      <w:pPr>
        <w:rPr>
          <w:rFonts w:asciiTheme="minorHAnsi" w:hAnsiTheme="minorHAnsi"/>
          <w:b/>
        </w:rPr>
      </w:pPr>
      <w:r w:rsidRPr="00A04266">
        <w:rPr>
          <w:rFonts w:asciiTheme="minorHAnsi" w:hAnsiTheme="minorHAnsi"/>
          <w:b/>
        </w:rPr>
        <w:t>Background</w:t>
      </w:r>
    </w:p>
    <w:p w:rsidR="00A04266" w:rsidRPr="00A04266" w:rsidRDefault="00A04266">
      <w:pPr>
        <w:rPr>
          <w:rFonts w:asciiTheme="minorHAnsi" w:hAnsiTheme="minorHAnsi"/>
        </w:rPr>
      </w:pPr>
    </w:p>
    <w:p w:rsidR="00C72EC9" w:rsidRPr="00A04266" w:rsidRDefault="007A3609" w:rsidP="00A04266">
      <w:pPr>
        <w:spacing w:line="240" w:lineRule="auto"/>
        <w:jc w:val="both"/>
        <w:rPr>
          <w:rFonts w:asciiTheme="minorHAnsi" w:hAnsiTheme="minorHAnsi"/>
        </w:rPr>
      </w:pPr>
      <w:r w:rsidRPr="00A04266">
        <w:rPr>
          <w:rFonts w:asciiTheme="minorHAnsi" w:eastAsia="Times New Roman" w:hAnsiTheme="minorHAnsi" w:cs="Times New Roman"/>
          <w:sz w:val="24"/>
          <w:szCs w:val="24"/>
        </w:rPr>
        <w:t>A grocery store will be constructed in the Foxboro development in North Salt Lake on a parcel of ground containing a high groundwater elevation. The site consists primarily of silt, silty clay, and clay with sand lenses to a depth of fifty feet.  Groundwat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>er surface elevations were measured with a piezometer to be as small as two feet below grade in some locations. Geotechnical site reconnaissance was performed by Bingham Engineering.</w:t>
      </w:r>
    </w:p>
    <w:p w:rsidR="00C72EC9" w:rsidRPr="00A04266" w:rsidRDefault="00C72EC9" w:rsidP="00A04266">
      <w:pPr>
        <w:spacing w:line="240" w:lineRule="auto"/>
        <w:rPr>
          <w:rFonts w:asciiTheme="minorHAnsi" w:hAnsiTheme="minorHAnsi"/>
        </w:rPr>
      </w:pPr>
    </w:p>
    <w:p w:rsidR="00C72EC9" w:rsidRPr="00A04266" w:rsidRDefault="007A3609" w:rsidP="00A04266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04266">
        <w:rPr>
          <w:rFonts w:asciiTheme="minorHAnsi" w:eastAsia="Times New Roman" w:hAnsiTheme="minorHAnsi" w:cs="Times New Roman"/>
          <w:sz w:val="24"/>
          <w:szCs w:val="24"/>
        </w:rPr>
        <w:t>The client would like to lower the groundwater elevation for the constru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ction of a grocery store and for the development of 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a nearby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storm water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detention basin. One of the possible dewatering solutions was a set 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of permanent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French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drains connected to the existing storm drain network. The impacts of the 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French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drains on the 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subsurface water elevations were modeled using MODFLOW. </w:t>
      </w:r>
    </w:p>
    <w:p w:rsidR="00A04266" w:rsidRPr="00A04266" w:rsidRDefault="00A04266">
      <w:pPr>
        <w:jc w:val="both"/>
        <w:rPr>
          <w:rFonts w:asciiTheme="minorHAnsi" w:hAnsiTheme="minorHAnsi"/>
        </w:rPr>
      </w:pPr>
    </w:p>
    <w:p w:rsidR="00C72EC9" w:rsidRPr="00A04266" w:rsidRDefault="00A04266">
      <w:pPr>
        <w:rPr>
          <w:rFonts w:asciiTheme="minorHAnsi" w:hAnsiTheme="minorHAnsi"/>
          <w:b/>
        </w:rPr>
      </w:pPr>
      <w:r w:rsidRPr="00A04266">
        <w:rPr>
          <w:rFonts w:asciiTheme="minorHAnsi" w:hAnsiTheme="minorHAnsi"/>
          <w:b/>
        </w:rPr>
        <w:t>Analysis</w:t>
      </w:r>
    </w:p>
    <w:p w:rsidR="00A04266" w:rsidRPr="00A04266" w:rsidRDefault="00A04266">
      <w:pPr>
        <w:rPr>
          <w:rFonts w:asciiTheme="minorHAnsi" w:hAnsiTheme="minorHAnsi"/>
        </w:rPr>
      </w:pPr>
    </w:p>
    <w:p w:rsidR="00C72EC9" w:rsidRPr="00A04266" w:rsidRDefault="007A3609" w:rsidP="00A04266">
      <w:pPr>
        <w:spacing w:line="240" w:lineRule="auto"/>
        <w:jc w:val="both"/>
        <w:rPr>
          <w:rFonts w:asciiTheme="minorHAnsi" w:hAnsiTheme="minorHAnsi"/>
        </w:rPr>
      </w:pP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MODFLOW is a three-dimensional finite difference numerical solution model developed by the United States Geological Survey (USGS). This model can perform steady state and transient time groundwater 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flow analysis. MODFLOW is most effectively utilized when coupled with at least one of the available preprocessors/postprocessors/GUIs such as GMS or </w:t>
      </w:r>
      <w:proofErr w:type="spellStart"/>
      <w:r w:rsidRPr="00A04266">
        <w:rPr>
          <w:rFonts w:asciiTheme="minorHAnsi" w:eastAsia="Times New Roman" w:hAnsiTheme="minorHAnsi" w:cs="Times New Roman"/>
          <w:sz w:val="24"/>
          <w:szCs w:val="24"/>
        </w:rPr>
        <w:t>ModelMuse</w:t>
      </w:r>
      <w:proofErr w:type="spellEnd"/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</w:p>
    <w:p w:rsidR="00C72EC9" w:rsidRPr="00A04266" w:rsidRDefault="00C72EC9" w:rsidP="00A04266">
      <w:pPr>
        <w:spacing w:line="240" w:lineRule="auto"/>
        <w:rPr>
          <w:rFonts w:asciiTheme="minorHAnsi" w:hAnsiTheme="minorHAnsi"/>
        </w:rPr>
      </w:pPr>
    </w:p>
    <w:p w:rsidR="00C72EC9" w:rsidRPr="00A04266" w:rsidRDefault="007A3609" w:rsidP="00A04266">
      <w:pPr>
        <w:spacing w:line="240" w:lineRule="auto"/>
        <w:jc w:val="both"/>
        <w:rPr>
          <w:rFonts w:asciiTheme="minorHAnsi" w:hAnsiTheme="minorHAnsi"/>
        </w:rPr>
      </w:pPr>
      <w:r w:rsidRPr="00A04266">
        <w:rPr>
          <w:rFonts w:asciiTheme="minorHAnsi" w:eastAsia="Times New Roman" w:hAnsiTheme="minorHAnsi" w:cs="Times New Roman"/>
          <w:sz w:val="24"/>
          <w:szCs w:val="24"/>
        </w:rPr>
        <w:t>Inputs required for the MODFLOW model were soil layers, hydraulic conductivity (vertical and h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orizontal), specific yields, and boundary conditions. Inputs were selected using CPT, borehole, </w:t>
      </w:r>
      <w:proofErr w:type="gramStart"/>
      <w:r w:rsidRPr="00A04266">
        <w:rPr>
          <w:rFonts w:asciiTheme="minorHAnsi" w:eastAsia="Times New Roman" w:hAnsiTheme="minorHAnsi" w:cs="Times New Roman"/>
          <w:sz w:val="24"/>
          <w:szCs w:val="24"/>
        </w:rPr>
        <w:t>test</w:t>
      </w:r>
      <w:proofErr w:type="gramEnd"/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pit data, and experience from past observations. The model was run twice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, once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for a high range of expected hydraulic conductivities and once for a low ra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nge of hydraulic conductivities. A transient analysis was performed and groundwater </w:t>
      </w:r>
      <w:proofErr w:type="spellStart"/>
      <w:r w:rsidRPr="00A04266">
        <w:rPr>
          <w:rFonts w:asciiTheme="minorHAnsi" w:eastAsia="Times New Roman" w:hAnsiTheme="minorHAnsi" w:cs="Times New Roman"/>
          <w:sz w:val="24"/>
          <w:szCs w:val="24"/>
        </w:rPr>
        <w:t>piezometric</w:t>
      </w:r>
      <w:proofErr w:type="spellEnd"/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surface elevations were calculated for 30 days, 60 days, 1 year, and 3 years after installation of the 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French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drains. A steady state MODFLOW analysis was also c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ompleted. This procedure was performed for various </w:t>
      </w:r>
      <w:proofErr w:type="spellStart"/>
      <w:r w:rsidRPr="00A04266">
        <w:rPr>
          <w:rFonts w:asciiTheme="minorHAnsi" w:eastAsia="Times New Roman" w:hAnsiTheme="minorHAnsi" w:cs="Times New Roman"/>
          <w:sz w:val="24"/>
          <w:szCs w:val="24"/>
        </w:rPr>
        <w:t>spacings</w:t>
      </w:r>
      <w:proofErr w:type="spellEnd"/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of the 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French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drains.</w:t>
      </w:r>
    </w:p>
    <w:p w:rsidR="00C72EC9" w:rsidRPr="00A04266" w:rsidRDefault="00C72EC9" w:rsidP="00A04266">
      <w:pPr>
        <w:spacing w:line="240" w:lineRule="auto"/>
        <w:rPr>
          <w:rFonts w:asciiTheme="minorHAnsi" w:hAnsiTheme="minorHAnsi"/>
        </w:rPr>
      </w:pPr>
    </w:p>
    <w:p w:rsidR="00C72EC9" w:rsidRPr="00A04266" w:rsidRDefault="007A3609" w:rsidP="00A04266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04266">
        <w:rPr>
          <w:rFonts w:asciiTheme="minorHAnsi" w:eastAsia="Times New Roman" w:hAnsiTheme="minorHAnsi" w:cs="Times New Roman"/>
          <w:sz w:val="24"/>
          <w:szCs w:val="24"/>
        </w:rPr>
        <w:t>The results indicate that groundwater drainage would occur at a very slow rate, even with the high range of hydraulic conductivities and a relatively close drain spacing. Al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so, even with a </w:t>
      </w:r>
      <w:proofErr w:type="spellStart"/>
      <w:r w:rsidRPr="00A04266">
        <w:rPr>
          <w:rFonts w:asciiTheme="minorHAnsi" w:eastAsia="Times New Roman" w:hAnsiTheme="minorHAnsi" w:cs="Times New Roman"/>
          <w:sz w:val="24"/>
          <w:szCs w:val="24"/>
        </w:rPr>
        <w:t>piezometric</w:t>
      </w:r>
      <w:proofErr w:type="spellEnd"/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surface lowering, clays would remain at a saturation close to unity due to their low specific yield. </w:t>
      </w:r>
    </w:p>
    <w:p w:rsidR="00A04266" w:rsidRPr="00A04266" w:rsidRDefault="00A04266">
      <w:pPr>
        <w:jc w:val="both"/>
        <w:rPr>
          <w:rFonts w:asciiTheme="minorHAnsi" w:hAnsiTheme="minorHAnsi"/>
        </w:rPr>
      </w:pPr>
    </w:p>
    <w:p w:rsidR="00C72EC9" w:rsidRPr="00A04266" w:rsidRDefault="00A04266">
      <w:pPr>
        <w:jc w:val="both"/>
        <w:rPr>
          <w:rFonts w:asciiTheme="minorHAnsi" w:hAnsiTheme="minorHAnsi"/>
          <w:b/>
        </w:rPr>
      </w:pPr>
      <w:r w:rsidRPr="00A04266">
        <w:rPr>
          <w:rFonts w:asciiTheme="minorHAnsi" w:hAnsiTheme="minorHAnsi"/>
          <w:b/>
        </w:rPr>
        <w:t>Conclusion</w:t>
      </w:r>
    </w:p>
    <w:p w:rsidR="00A04266" w:rsidRPr="00A04266" w:rsidRDefault="00A04266">
      <w:pPr>
        <w:jc w:val="both"/>
        <w:rPr>
          <w:rFonts w:asciiTheme="minorHAnsi" w:hAnsiTheme="minorHAnsi"/>
        </w:rPr>
      </w:pPr>
    </w:p>
    <w:p w:rsidR="00C72EC9" w:rsidRDefault="007A3609" w:rsidP="00A04266">
      <w:pPr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A04266">
        <w:rPr>
          <w:rFonts w:asciiTheme="minorHAnsi" w:eastAsia="Times New Roman" w:hAnsiTheme="minorHAnsi" w:cs="Times New Roman"/>
          <w:sz w:val="24"/>
          <w:szCs w:val="24"/>
        </w:rPr>
        <w:t>This case study highlights the conundrum for a balance between time and money: more time and resources spent on the project r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esults in higher costs for the client. It also demonstrates that sometimes a conventional solution may not be enough to satisfy the customer’s needs. A 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refinement for the model could have been achieved by performing pump tests, increasing the layer count, 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calibrating the model using more observed heads, and improving the boundary conditions. Although 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the model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shows that with enough 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French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drains the client’s problem could be resolved, conclusions drawn indicate that the installment of </w:t>
      </w:r>
      <w:r w:rsidR="00A04266" w:rsidRPr="00A04266">
        <w:rPr>
          <w:rFonts w:asciiTheme="minorHAnsi" w:eastAsia="Times New Roman" w:hAnsiTheme="minorHAnsi" w:cs="Times New Roman"/>
          <w:sz w:val="24"/>
          <w:szCs w:val="24"/>
        </w:rPr>
        <w:t>French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drains is not</w:t>
      </w:r>
      <w:r w:rsidRPr="00A04266">
        <w:rPr>
          <w:rFonts w:asciiTheme="minorHAnsi" w:eastAsia="Times New Roman" w:hAnsiTheme="minorHAnsi" w:cs="Times New Roman"/>
          <w:sz w:val="24"/>
          <w:szCs w:val="24"/>
        </w:rPr>
        <w:t xml:space="preserve"> a feasible solution to lower the groundwater table in the vicinity of the grocery store.</w:t>
      </w:r>
    </w:p>
    <w:p w:rsidR="00A04266" w:rsidRPr="00A04266" w:rsidRDefault="00A04266" w:rsidP="00A04266">
      <w:pPr>
        <w:spacing w:line="240" w:lineRule="auto"/>
        <w:jc w:val="both"/>
        <w:rPr>
          <w:rFonts w:asciiTheme="minorHAnsi" w:hAnsiTheme="minorHAnsi"/>
        </w:rPr>
      </w:pPr>
    </w:p>
    <w:p w:rsidR="00A04266" w:rsidRPr="00A04266" w:rsidRDefault="00A04266" w:rsidP="00A04266">
      <w:pPr>
        <w:jc w:val="both"/>
        <w:rPr>
          <w:rFonts w:asciiTheme="minorHAnsi" w:hAnsiTheme="minorHAnsi"/>
          <w:b/>
        </w:rPr>
      </w:pPr>
      <w:r w:rsidRPr="00A04266">
        <w:rPr>
          <w:rFonts w:asciiTheme="minorHAnsi" w:hAnsiTheme="minorHAnsi"/>
          <w:b/>
        </w:rPr>
        <w:t>References</w:t>
      </w:r>
    </w:p>
    <w:p w:rsidR="00C72EC9" w:rsidRDefault="00C72EC9">
      <w:pPr>
        <w:jc w:val="both"/>
      </w:pPr>
    </w:p>
    <w:p w:rsidR="007A3609" w:rsidRPr="007A3609" w:rsidRDefault="007A3609" w:rsidP="007A3609">
      <w:pPr>
        <w:spacing w:line="240" w:lineRule="auto"/>
        <w:rPr>
          <w:rFonts w:asciiTheme="minorHAnsi" w:eastAsia="Times New Roman" w:hAnsiTheme="minorHAnsi" w:cs="Times New Roman"/>
          <w:color w:val="auto"/>
        </w:rPr>
      </w:pPr>
      <w:r w:rsidRPr="007A3609">
        <w:rPr>
          <w:rFonts w:asciiTheme="minorHAnsi" w:eastAsia="Times New Roman" w:hAnsiTheme="minorHAnsi" w:cs="Times New Roman"/>
          <w:color w:val="auto"/>
        </w:rPr>
        <w:t xml:space="preserve">Harbaugh, A. W. (2005). MODFLOW-2005, </w:t>
      </w:r>
      <w:proofErr w:type="gramStart"/>
      <w:r w:rsidRPr="007A3609">
        <w:rPr>
          <w:rFonts w:asciiTheme="minorHAnsi" w:eastAsia="Times New Roman" w:hAnsiTheme="minorHAnsi" w:cs="Times New Roman"/>
          <w:color w:val="auto"/>
        </w:rPr>
        <w:t>The</w:t>
      </w:r>
      <w:proofErr w:type="gramEnd"/>
      <w:r w:rsidRPr="007A3609">
        <w:rPr>
          <w:rFonts w:asciiTheme="minorHAnsi" w:eastAsia="Times New Roman" w:hAnsiTheme="minorHAnsi" w:cs="Times New Roman"/>
          <w:color w:val="auto"/>
        </w:rPr>
        <w:t xml:space="preserve"> U.S. Geological Survey Modular Ground-Water Model—the Ground-Water Flow Process. Retrieved from http://pubs.usgs.gov/tm/2005/tm6A16/ </w:t>
      </w:r>
    </w:p>
    <w:p w:rsidR="007A3609" w:rsidRDefault="007A3609" w:rsidP="00A04266">
      <w:pPr>
        <w:spacing w:line="240" w:lineRule="auto"/>
        <w:rPr>
          <w:rFonts w:asciiTheme="minorHAnsi" w:eastAsia="Times New Roman" w:hAnsiTheme="minorHAnsi" w:cs="Times New Roman"/>
          <w:color w:val="auto"/>
        </w:rPr>
      </w:pPr>
    </w:p>
    <w:p w:rsidR="00A04266" w:rsidRPr="00A04266" w:rsidRDefault="00A04266" w:rsidP="00A04266">
      <w:pPr>
        <w:spacing w:line="240" w:lineRule="auto"/>
        <w:rPr>
          <w:rFonts w:asciiTheme="minorHAnsi" w:eastAsia="Times New Roman" w:hAnsiTheme="minorHAnsi" w:cs="Times New Roman"/>
          <w:color w:val="auto"/>
        </w:rPr>
      </w:pPr>
      <w:r w:rsidRPr="00A04266">
        <w:rPr>
          <w:rFonts w:asciiTheme="minorHAnsi" w:eastAsia="Times New Roman" w:hAnsiTheme="minorHAnsi" w:cs="Times New Roman"/>
          <w:color w:val="auto"/>
        </w:rPr>
        <w:t xml:space="preserve">Johnson, A. I. (1963). Compilation of Specific Yields for Various Materials. Retrieved from http://pubs.usgs.gov/of/1963/0059/report.pdf </w:t>
      </w:r>
    </w:p>
    <w:p w:rsidR="00C72EC9" w:rsidRDefault="00C72EC9">
      <w:pPr>
        <w:rPr>
          <w:rFonts w:asciiTheme="minorHAnsi" w:hAnsiTheme="minorHAnsi"/>
        </w:rPr>
      </w:pPr>
    </w:p>
    <w:p w:rsidR="007A3609" w:rsidRPr="007A3609" w:rsidRDefault="007A3609" w:rsidP="007A3609">
      <w:pPr>
        <w:spacing w:line="240" w:lineRule="auto"/>
        <w:rPr>
          <w:rFonts w:asciiTheme="minorHAnsi" w:eastAsia="Times New Roman" w:hAnsiTheme="minorHAnsi" w:cs="Times New Roman"/>
          <w:color w:val="auto"/>
          <w:szCs w:val="24"/>
        </w:rPr>
      </w:pPr>
      <w:r w:rsidRPr="007A3609">
        <w:rPr>
          <w:rFonts w:asciiTheme="minorHAnsi" w:eastAsia="Times New Roman" w:hAnsiTheme="minorHAnsi" w:cs="Times New Roman"/>
          <w:color w:val="auto"/>
          <w:szCs w:val="24"/>
        </w:rPr>
        <w:t xml:space="preserve">Powers, J. P., Corwin, A. B., </w:t>
      </w:r>
      <w:proofErr w:type="spellStart"/>
      <w:r w:rsidRPr="007A3609">
        <w:rPr>
          <w:rFonts w:asciiTheme="minorHAnsi" w:eastAsia="Times New Roman" w:hAnsiTheme="minorHAnsi" w:cs="Times New Roman"/>
          <w:color w:val="auto"/>
          <w:szCs w:val="24"/>
        </w:rPr>
        <w:t>Schmall</w:t>
      </w:r>
      <w:proofErr w:type="spellEnd"/>
      <w:r w:rsidRPr="007A3609">
        <w:rPr>
          <w:rFonts w:asciiTheme="minorHAnsi" w:eastAsia="Times New Roman" w:hAnsiTheme="minorHAnsi" w:cs="Times New Roman"/>
          <w:color w:val="auto"/>
          <w:szCs w:val="24"/>
        </w:rPr>
        <w:t xml:space="preserve">, P. C., &amp; </w:t>
      </w:r>
      <w:proofErr w:type="spellStart"/>
      <w:r w:rsidRPr="007A3609">
        <w:rPr>
          <w:rFonts w:asciiTheme="minorHAnsi" w:eastAsia="Times New Roman" w:hAnsiTheme="minorHAnsi" w:cs="Times New Roman"/>
          <w:color w:val="auto"/>
          <w:szCs w:val="24"/>
        </w:rPr>
        <w:t>Kaeck</w:t>
      </w:r>
      <w:proofErr w:type="spellEnd"/>
      <w:r w:rsidRPr="007A3609">
        <w:rPr>
          <w:rFonts w:asciiTheme="minorHAnsi" w:eastAsia="Times New Roman" w:hAnsiTheme="minorHAnsi" w:cs="Times New Roman"/>
          <w:color w:val="auto"/>
          <w:szCs w:val="24"/>
        </w:rPr>
        <w:t xml:space="preserve">, W. E. (2007). Construction Dewatering and Groundwater Control. </w:t>
      </w:r>
      <w:proofErr w:type="gramStart"/>
      <w:r w:rsidRPr="007A3609">
        <w:rPr>
          <w:rFonts w:asciiTheme="minorHAnsi" w:eastAsia="Times New Roman" w:hAnsiTheme="minorHAnsi" w:cs="Times New Roman"/>
          <w:color w:val="auto"/>
          <w:szCs w:val="24"/>
        </w:rPr>
        <w:t>doi:</w:t>
      </w:r>
      <w:proofErr w:type="gramEnd"/>
      <w:r w:rsidRPr="007A3609">
        <w:rPr>
          <w:rFonts w:asciiTheme="minorHAnsi" w:eastAsia="Times New Roman" w:hAnsiTheme="minorHAnsi" w:cs="Times New Roman"/>
          <w:color w:val="auto"/>
          <w:szCs w:val="24"/>
        </w:rPr>
        <w:t xml:space="preserve">10.1002/9780470168103 </w:t>
      </w:r>
    </w:p>
    <w:p w:rsidR="007A3609" w:rsidRPr="007A3609" w:rsidRDefault="007A3609">
      <w:pPr>
        <w:rPr>
          <w:rFonts w:asciiTheme="minorHAnsi" w:hAnsiTheme="minorHAnsi"/>
        </w:rPr>
      </w:pPr>
    </w:p>
    <w:p w:rsidR="00C72EC9" w:rsidRPr="007A3609" w:rsidRDefault="007A3609">
      <w:pPr>
        <w:rPr>
          <w:rFonts w:asciiTheme="minorHAnsi" w:hAnsiTheme="minorHAnsi"/>
        </w:rPr>
      </w:pPr>
      <w:r w:rsidRPr="007A3609">
        <w:rPr>
          <w:rFonts w:asciiTheme="minorHAnsi" w:hAnsiTheme="minorHAnsi"/>
        </w:rPr>
        <w:t xml:space="preserve">Winston, R.B., 2009, </w:t>
      </w:r>
      <w:proofErr w:type="spellStart"/>
      <w:r w:rsidRPr="007A3609">
        <w:rPr>
          <w:rFonts w:asciiTheme="minorHAnsi" w:hAnsiTheme="minorHAnsi"/>
        </w:rPr>
        <w:t>ModelMuse</w:t>
      </w:r>
      <w:proofErr w:type="spellEnd"/>
      <w:r w:rsidRPr="007A3609">
        <w:rPr>
          <w:rFonts w:asciiTheme="minorHAnsi" w:hAnsiTheme="minorHAnsi"/>
        </w:rPr>
        <w:t>—A graphical user interface for MODFLOW–2005 and PHAST: U.S. Geological Survey Techniques and Methods 6–A29, 52 p., available only online at http://pubs.usgs.gov/tm/tm6A29.</w:t>
      </w:r>
    </w:p>
    <w:p w:rsidR="00C72EC9" w:rsidRDefault="00C72EC9"/>
    <w:p w:rsidR="00C72EC9" w:rsidRDefault="00C72EC9" w:rsidP="007A3609">
      <w:bookmarkStart w:id="0" w:name="_GoBack"/>
      <w:bookmarkEnd w:id="0"/>
    </w:p>
    <w:sectPr w:rsidR="00C72E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2EC9"/>
    <w:rsid w:val="007A3609"/>
    <w:rsid w:val="00A04266"/>
    <w:rsid w:val="00C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D98AF-E0D3-404F-9D58-2ABC0DD6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Hani Yousef Ahmad Abu Hmeidan</cp:lastModifiedBy>
  <cp:revision>2</cp:revision>
  <dcterms:created xsi:type="dcterms:W3CDTF">2016-04-12T03:24:00Z</dcterms:created>
  <dcterms:modified xsi:type="dcterms:W3CDTF">2016-04-12T03:43:00Z</dcterms:modified>
</cp:coreProperties>
</file>